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147FE4" w:rsidRDefault="001F4937" w:rsidP="003B5A41">
      <w:pPr>
        <w:pStyle w:val="Title"/>
      </w:pPr>
      <w:bookmarkStart w:id="0" w:name="_GoBack"/>
      <w:bookmarkEnd w:id="0"/>
      <w:r>
        <w:t xml:space="preserve">Synchronized Cells for </w:t>
      </w:r>
      <w:proofErr w:type="spellStart"/>
      <w:r>
        <w:t>eDRX</w:t>
      </w:r>
      <w:proofErr w:type="spellEnd"/>
    </w:p>
    <w:p w:rsidR="003B5A41" w:rsidRPr="00147FE4" w:rsidRDefault="008317F7" w:rsidP="00F70156">
      <w:pPr>
        <w:pStyle w:val="Heading1"/>
      </w:pPr>
      <w:r w:rsidRPr="00147FE4">
        <w:t>Introduction</w:t>
      </w:r>
    </w:p>
    <w:p w:rsidR="001F4937" w:rsidRPr="001F4937" w:rsidRDefault="001F4937" w:rsidP="001F4937">
      <w:r>
        <w:t xml:space="preserve">The </w:t>
      </w:r>
      <w:r w:rsidRPr="001F4937">
        <w:t xml:space="preserve">paging occasion (nominal paging group) </w:t>
      </w:r>
      <w:r>
        <w:t xml:space="preserve">used by a </w:t>
      </w:r>
      <w:proofErr w:type="spellStart"/>
      <w:r>
        <w:t>CIoT</w:t>
      </w:r>
      <w:proofErr w:type="spellEnd"/>
      <w:r>
        <w:t xml:space="preserve"> device </w:t>
      </w:r>
      <w:r w:rsidRPr="001F4937">
        <w:t xml:space="preserve">on the radio interface is determined, at least in part, by the radio frame number (see 3GPP TSs 36.331, 45.002, 25.304). As such, </w:t>
      </w:r>
      <w:r w:rsidR="00750454">
        <w:t xml:space="preserve">the cycle of </w:t>
      </w:r>
      <w:r>
        <w:t>radio frame numbers</w:t>
      </w:r>
      <w:r w:rsidRPr="001F4937">
        <w:t xml:space="preserve"> in different cells </w:t>
      </w:r>
      <w:r>
        <w:t xml:space="preserve">will </w:t>
      </w:r>
      <w:r w:rsidRPr="001F4937">
        <w:t xml:space="preserve">appear on the radio interface in an unsynchronized manner (i.e. </w:t>
      </w:r>
      <w:r w:rsidR="00750454">
        <w:t xml:space="preserve">when paging a device in </w:t>
      </w:r>
      <w:r w:rsidRPr="001F4937">
        <w:t xml:space="preserve">a given paging </w:t>
      </w:r>
      <w:r w:rsidR="00750454">
        <w:t xml:space="preserve">area the corresponding paging </w:t>
      </w:r>
      <w:r w:rsidRPr="001F4937">
        <w:t xml:space="preserve">message will be sent on the radio interface at different </w:t>
      </w:r>
      <w:r w:rsidR="00750454">
        <w:t>points in time</w:t>
      </w:r>
      <w:r w:rsidRPr="001F4937">
        <w:t xml:space="preserve">). </w:t>
      </w:r>
    </w:p>
    <w:p w:rsidR="001F4937" w:rsidRPr="00750454" w:rsidRDefault="001F4937" w:rsidP="00750454">
      <w:r w:rsidRPr="00750454">
        <w:t xml:space="preserve">The spread between paging occasions for the same device in different cells can be up to the maximum </w:t>
      </w:r>
      <w:r w:rsidR="00750454" w:rsidRPr="00750454">
        <w:t xml:space="preserve">extended DRX cycle length </w:t>
      </w:r>
      <w:r w:rsidRPr="00750454">
        <w:t>since the same radio frame number associated with the start of a nominal paging group can occur at different times in these unsynchronized cell</w:t>
      </w:r>
      <w:r w:rsidR="00750454" w:rsidRPr="00750454">
        <w:t>s</w:t>
      </w:r>
      <w:r w:rsidRPr="00750454">
        <w:t xml:space="preserve">. The use of unsynchronized cells therefore has two drawbacks when considered within the context </w:t>
      </w:r>
      <w:proofErr w:type="spellStart"/>
      <w:r w:rsidRPr="00750454">
        <w:t>eDRX</w:t>
      </w:r>
      <w:proofErr w:type="spellEnd"/>
      <w:r w:rsidRPr="00750454">
        <w:t>:</w:t>
      </w:r>
    </w:p>
    <w:p w:rsidR="001F4937" w:rsidRPr="00750454" w:rsidRDefault="001F4937" w:rsidP="00750454">
      <w:pPr>
        <w:pStyle w:val="ListParagraph"/>
        <w:numPr>
          <w:ilvl w:val="0"/>
          <w:numId w:val="44"/>
        </w:numPr>
        <w:spacing w:before="120"/>
      </w:pPr>
      <w:r w:rsidRPr="00750454">
        <w:t>Drawback 1: A device might be unreachable for paging as it might miss its paging opportunities (in different cells) as a result of moving between cells.</w:t>
      </w:r>
    </w:p>
    <w:p w:rsidR="001F4937" w:rsidRPr="00750454" w:rsidRDefault="001F4937" w:rsidP="00750454">
      <w:pPr>
        <w:pStyle w:val="ListParagraph"/>
        <w:numPr>
          <w:ilvl w:val="0"/>
          <w:numId w:val="44"/>
        </w:numPr>
        <w:spacing w:before="120" w:after="120"/>
      </w:pPr>
      <w:r w:rsidRPr="00750454">
        <w:t>Drawback 2: A device might receive and respond to the same paging message multiple times (in different cells) as a result of moving between cells.</w:t>
      </w:r>
    </w:p>
    <w:p w:rsidR="00750454" w:rsidRPr="00147FE4" w:rsidRDefault="00750454" w:rsidP="00750454">
      <w:pPr>
        <w:pStyle w:val="Heading1"/>
      </w:pPr>
      <w:r>
        <w:t>Proposed Solution</w:t>
      </w:r>
    </w:p>
    <w:p w:rsidR="00750454" w:rsidRDefault="001F4937" w:rsidP="001F4937">
      <w:r>
        <w:t>The proposal is to synchronize the oc</w:t>
      </w:r>
      <w:r w:rsidR="00A01AF6">
        <w:t>currence of paging occasions</w:t>
      </w:r>
      <w:r>
        <w:t xml:space="preserve"> across multiple cells thus mitigating the drawbacks resulting from using </w:t>
      </w:r>
      <w:proofErr w:type="spellStart"/>
      <w:r>
        <w:t>eDRX</w:t>
      </w:r>
      <w:proofErr w:type="spellEnd"/>
      <w:r>
        <w:t xml:space="preserve"> </w:t>
      </w:r>
      <w:r w:rsidR="00750454">
        <w:t>described above</w:t>
      </w:r>
      <w:r>
        <w:t xml:space="preserve">. </w:t>
      </w:r>
      <w:r w:rsidR="00750454">
        <w:t>This requires</w:t>
      </w:r>
      <w:r>
        <w:t xml:space="preserve"> that </w:t>
      </w:r>
      <w:proofErr w:type="spellStart"/>
      <w:r w:rsidR="00750454">
        <w:t>CIoT</w:t>
      </w:r>
      <w:proofErr w:type="spellEnd"/>
      <w:r w:rsidR="00750454">
        <w:t xml:space="preserve"> devices and</w:t>
      </w:r>
      <w:r w:rsidR="004F0469">
        <w:t xml:space="preserve"> the </w:t>
      </w:r>
      <w:r>
        <w:t xml:space="preserve">SGSN have a common understanding of the timing </w:t>
      </w:r>
      <w:r w:rsidR="00750454">
        <w:t xml:space="preserve">of paging occasions within each </w:t>
      </w:r>
      <w:proofErr w:type="spellStart"/>
      <w:r w:rsidR="00750454">
        <w:t>eDRX</w:t>
      </w:r>
      <w:proofErr w:type="spellEnd"/>
      <w:r w:rsidR="00750454">
        <w:t xml:space="preserve"> cycle. This means that </w:t>
      </w:r>
      <w:r>
        <w:t>each pagin</w:t>
      </w:r>
      <w:r w:rsidR="00750454">
        <w:t>g occasion of a device</w:t>
      </w:r>
      <w:r>
        <w:t xml:space="preserve"> occurs at approximately the same time (within a certain timing accuracy) </w:t>
      </w:r>
      <w:r w:rsidR="00750454">
        <w:t>within the set of</w:t>
      </w:r>
      <w:r>
        <w:t xml:space="preserve"> cells</w:t>
      </w:r>
      <w:r w:rsidR="00750454">
        <w:t xml:space="preserve"> used for paging </w:t>
      </w:r>
      <w:r w:rsidR="0042570A">
        <w:t>that device</w:t>
      </w:r>
      <w:r>
        <w:t xml:space="preserve">. </w:t>
      </w:r>
    </w:p>
    <w:p w:rsidR="0042570A" w:rsidRDefault="0042570A" w:rsidP="0042570A">
      <w:pPr>
        <w:pStyle w:val="ListParagraph"/>
        <w:numPr>
          <w:ilvl w:val="0"/>
          <w:numId w:val="44"/>
        </w:numPr>
        <w:spacing w:before="120"/>
      </w:pPr>
      <w:r>
        <w:t>With</w:t>
      </w:r>
      <w:r w:rsidR="004F0469">
        <w:t xml:space="preserve"> this solution the </w:t>
      </w:r>
      <w:r w:rsidR="001F4937">
        <w:t xml:space="preserve">SGSN </w:t>
      </w:r>
      <w:r>
        <w:t>initiates paging for</w:t>
      </w:r>
      <w:r w:rsidR="001F4937">
        <w:t xml:space="preserve"> a given</w:t>
      </w:r>
      <w:r>
        <w:t xml:space="preserve"> device</w:t>
      </w:r>
      <w:r w:rsidR="001F4937">
        <w:t xml:space="preserve"> over the relevant interface </w:t>
      </w:r>
      <w:r>
        <w:t xml:space="preserve">(e.g. </w:t>
      </w:r>
      <w:proofErr w:type="gramStart"/>
      <w:r>
        <w:t>Gb</w:t>
      </w:r>
      <w:proofErr w:type="gramEnd"/>
      <w:r>
        <w:t xml:space="preserve"> interface) </w:t>
      </w:r>
      <w:r w:rsidR="001F4937">
        <w:t>shortly before its p</w:t>
      </w:r>
      <w:r>
        <w:t>aging occasion</w:t>
      </w:r>
      <w:r w:rsidR="001F4937">
        <w:t xml:space="preserve"> occurs</w:t>
      </w:r>
      <w:r>
        <w:t xml:space="preserve"> on the radio interface of the synchronized cells</w:t>
      </w:r>
      <w:r w:rsidR="001F4937">
        <w:t xml:space="preserve">. </w:t>
      </w:r>
    </w:p>
    <w:p w:rsidR="0042570A" w:rsidRDefault="001F4937" w:rsidP="0042570A">
      <w:pPr>
        <w:pStyle w:val="ListParagraph"/>
        <w:numPr>
          <w:ilvl w:val="0"/>
          <w:numId w:val="44"/>
        </w:numPr>
        <w:spacing w:before="120"/>
      </w:pPr>
      <w:r>
        <w:t xml:space="preserve">As such, unless there are at least 2 cells within each set of </w:t>
      </w:r>
      <w:r w:rsidR="0042570A">
        <w:t xml:space="preserve">synchronized </w:t>
      </w:r>
      <w:r>
        <w:t>cells then there will be no mitigation of the</w:t>
      </w:r>
      <w:r w:rsidR="0042570A">
        <w:t xml:space="preserve"> drawbacks outlined above</w:t>
      </w:r>
      <w:r>
        <w:t xml:space="preserve">. In other words, the greater the number of cells within each set of </w:t>
      </w:r>
      <w:r w:rsidR="0042570A">
        <w:t xml:space="preserve">synchronized </w:t>
      </w:r>
      <w:r>
        <w:t>cells the greater the mitigation of the</w:t>
      </w:r>
      <w:r w:rsidR="0042570A">
        <w:t xml:space="preserve"> drawbacks outlined above</w:t>
      </w:r>
      <w:r>
        <w:t xml:space="preserve">. </w:t>
      </w:r>
    </w:p>
    <w:p w:rsidR="001F4937" w:rsidRDefault="001F4937" w:rsidP="0042570A">
      <w:pPr>
        <w:pStyle w:val="ListParagraph"/>
        <w:numPr>
          <w:ilvl w:val="0"/>
          <w:numId w:val="44"/>
        </w:numPr>
        <w:spacing w:before="120"/>
      </w:pPr>
      <w:r>
        <w:t xml:space="preserve">Note that a paging area may consist of one or more sets of cells wherein for each set </w:t>
      </w:r>
      <w:r w:rsidR="0042570A">
        <w:t xml:space="preserve">of cells </w:t>
      </w:r>
      <w:r>
        <w:t>the paging opportunity occurs at approximately the same time. As such, the greatest mitigation of the</w:t>
      </w:r>
      <w:r w:rsidR="0042570A">
        <w:t xml:space="preserve"> drawbacks outlined above</w:t>
      </w:r>
      <w:r>
        <w:t xml:space="preserve"> will be realized if the paging area consists of a single set of cell</w:t>
      </w:r>
      <w:r w:rsidR="0042570A">
        <w:t>s wherein the paging occasion</w:t>
      </w:r>
      <w:r>
        <w:t xml:space="preserve"> for </w:t>
      </w:r>
      <w:r w:rsidR="0042570A">
        <w:t xml:space="preserve">any </w:t>
      </w:r>
      <w:r w:rsidR="0042570A">
        <w:lastRenderedPageBreak/>
        <w:t>device</w:t>
      </w:r>
      <w:r>
        <w:t xml:space="preserve"> in that paging area occurs at approximately the same time</w:t>
      </w:r>
      <w:r w:rsidR="0042570A">
        <w:t xml:space="preserve"> on the respective radio interfaces of these cells</w:t>
      </w:r>
      <w:r>
        <w:t>.</w:t>
      </w:r>
    </w:p>
    <w:p w:rsidR="0042570A" w:rsidRPr="00147FE4" w:rsidRDefault="0042570A" w:rsidP="0042570A">
      <w:pPr>
        <w:pStyle w:val="Heading1"/>
      </w:pPr>
      <w:r>
        <w:t>Impacts on Core Network</w:t>
      </w:r>
    </w:p>
    <w:p w:rsidR="001F4937" w:rsidRDefault="001F4937" w:rsidP="001F4937">
      <w:r>
        <w:t>T</w:t>
      </w:r>
      <w:r w:rsidR="0042570A">
        <w:t xml:space="preserve">he solution described </w:t>
      </w:r>
      <w:r>
        <w:t>above requires that paging t</w:t>
      </w:r>
      <w:r w:rsidR="004F0469">
        <w:t xml:space="preserve">riggers are buffered in the </w:t>
      </w:r>
      <w:r>
        <w:t xml:space="preserve">SGSN since otherwise </w:t>
      </w:r>
      <w:r w:rsidRPr="00663B51">
        <w:t>the CN is forced to wait as long as the</w:t>
      </w:r>
      <w:r>
        <w:t xml:space="preserve"> </w:t>
      </w:r>
      <w:proofErr w:type="spellStart"/>
      <w:r>
        <w:t>eDRX</w:t>
      </w:r>
      <w:proofErr w:type="spellEnd"/>
      <w:r>
        <w:t xml:space="preserve"> cycle of the target UE</w:t>
      </w:r>
      <w:r w:rsidRPr="00663B51">
        <w:t xml:space="preserve"> before expecting a page response (or the lack thereof) and proceeding according</w:t>
      </w:r>
      <w:r>
        <w:t xml:space="preserve">ly. In other words, RAN buffering of paging requests </w:t>
      </w:r>
      <w:r w:rsidRPr="00584D84">
        <w:t>will have substantial impact on legacy CN paging strategies</w:t>
      </w:r>
      <w:r w:rsidR="0042570A" w:rsidRPr="00584D84">
        <w:t xml:space="preserve"> and will still not resolve the drawbacks identified in section 1</w:t>
      </w:r>
      <w:r w:rsidRPr="00584D84">
        <w:t>. Furthermore</w:t>
      </w:r>
      <w:r w:rsidR="00A01AF6" w:rsidRPr="00584D84">
        <w:t>,</w:t>
      </w:r>
      <w:r w:rsidRPr="00584D84">
        <w:t xml:space="preserve"> </w:t>
      </w:r>
      <w:r w:rsidR="00584D84" w:rsidRPr="00584D84">
        <w:t xml:space="preserve">temporary </w:t>
      </w:r>
      <w:r w:rsidRPr="00584D84">
        <w:t>identifiers included in the paging message might become invali</w:t>
      </w:r>
      <w:r w:rsidR="0042570A" w:rsidRPr="00584D84">
        <w:t>d if the paging messages are</w:t>
      </w:r>
      <w:r w:rsidRPr="00584D84">
        <w:t xml:space="preserve"> buffer</w:t>
      </w:r>
      <w:r w:rsidR="0042570A" w:rsidRPr="00584D84">
        <w:t>ed in the RAN for extended time periods</w:t>
      </w:r>
      <w:r w:rsidR="00584D84" w:rsidRPr="00584D84">
        <w:t>. If this happens then if the buffered page is eventually sent this could</w:t>
      </w:r>
      <w:r w:rsidRPr="00584D84">
        <w:t xml:space="preserve"> </w:t>
      </w:r>
      <w:r w:rsidR="0042570A" w:rsidRPr="00584D84">
        <w:t xml:space="preserve">then </w:t>
      </w:r>
      <w:r w:rsidR="00584D84" w:rsidRPr="00584D84">
        <w:t>lead to</w:t>
      </w:r>
      <w:r w:rsidRPr="00584D84">
        <w:t xml:space="preserve"> </w:t>
      </w:r>
      <w:r w:rsidR="00584D84" w:rsidRPr="00584D84">
        <w:t xml:space="preserve">either a </w:t>
      </w:r>
      <w:r w:rsidRPr="00584D84">
        <w:t>paging failure</w:t>
      </w:r>
      <w:r w:rsidR="00584D84" w:rsidRPr="00584D84">
        <w:t xml:space="preserve"> (if the identifier has been re-assigned to another device) or at least a waste of paging bandwidth</w:t>
      </w:r>
      <w:r w:rsidRPr="00584D84">
        <w:t>. To mitigat</w:t>
      </w:r>
      <w:r w:rsidR="00A01AF6" w:rsidRPr="00584D84">
        <w:t>e the</w:t>
      </w:r>
      <w:r w:rsidR="00584D84" w:rsidRPr="00584D84">
        <w:t>se</w:t>
      </w:r>
      <w:r w:rsidR="00A01AF6" w:rsidRPr="00584D84">
        <w:t xml:space="preserve"> problem</w:t>
      </w:r>
      <w:r w:rsidR="00584D84" w:rsidRPr="00584D84">
        <w:t>s</w:t>
      </w:r>
      <w:r w:rsidR="00A01AF6" w:rsidRPr="00584D84">
        <w:t xml:space="preserve"> additional signa</w:t>
      </w:r>
      <w:r w:rsidRPr="00584D84">
        <w:t xml:space="preserve">ling and complexity would </w:t>
      </w:r>
      <w:r w:rsidR="00584D84" w:rsidRPr="00584D84">
        <w:t>need to be introduced</w:t>
      </w:r>
      <w:r w:rsidRPr="00584D84">
        <w:t>.</w:t>
      </w:r>
    </w:p>
    <w:p w:rsidR="00A01AF6" w:rsidRPr="00147FE4" w:rsidRDefault="00A01AF6" w:rsidP="00A01AF6">
      <w:pPr>
        <w:pStyle w:val="Heading1"/>
      </w:pPr>
      <w:r>
        <w:t>Way Forward</w:t>
      </w:r>
    </w:p>
    <w:p w:rsidR="001F4937" w:rsidRDefault="001F4937" w:rsidP="001F4937">
      <w:r>
        <w:t xml:space="preserve">The discussion above </w:t>
      </w:r>
      <w:r w:rsidR="00A01AF6">
        <w:t xml:space="preserve">allows for identifying </w:t>
      </w:r>
      <w:r>
        <w:t>three high level working assumptions</w:t>
      </w:r>
      <w:r w:rsidR="00444C69">
        <w:t xml:space="preserve"> that can be agreed to serve</w:t>
      </w:r>
      <w:r>
        <w:t xml:space="preserve"> as a basis for the further work on developing a full system solution</w:t>
      </w:r>
      <w:r w:rsidR="00A01AF6">
        <w:t xml:space="preserve"> required for realizing </w:t>
      </w:r>
      <w:proofErr w:type="spellStart"/>
      <w:r w:rsidR="00A01AF6">
        <w:t>eDRX</w:t>
      </w:r>
      <w:proofErr w:type="spellEnd"/>
      <w:r>
        <w:t>:</w:t>
      </w:r>
    </w:p>
    <w:p w:rsidR="001F4937" w:rsidRDefault="001F4937" w:rsidP="001F4937">
      <w:pPr>
        <w:rPr>
          <w:b/>
        </w:rPr>
      </w:pPr>
      <w:r>
        <w:rPr>
          <w:b/>
        </w:rPr>
        <w:t>WA</w:t>
      </w:r>
      <w:r w:rsidR="00A01AF6">
        <w:rPr>
          <w:b/>
        </w:rPr>
        <w:t xml:space="preserve"> 1: </w:t>
      </w:r>
      <w:proofErr w:type="spellStart"/>
      <w:r w:rsidR="00A01AF6">
        <w:rPr>
          <w:b/>
        </w:rPr>
        <w:t>CIoT</w:t>
      </w:r>
      <w:proofErr w:type="spellEnd"/>
      <w:r w:rsidR="00A01AF6">
        <w:rPr>
          <w:b/>
        </w:rPr>
        <w:t xml:space="preserve"> devices</w:t>
      </w:r>
      <w:r w:rsidRPr="003A1EB6">
        <w:rPr>
          <w:b/>
        </w:rPr>
        <w:t xml:space="preserve"> and </w:t>
      </w:r>
      <w:r w:rsidR="00A01AF6">
        <w:rPr>
          <w:b/>
        </w:rPr>
        <w:t xml:space="preserve">their corresponding </w:t>
      </w:r>
      <w:r>
        <w:rPr>
          <w:b/>
        </w:rPr>
        <w:t>SGSN</w:t>
      </w:r>
      <w:r w:rsidRPr="003A1EB6">
        <w:rPr>
          <w:b/>
        </w:rPr>
        <w:t xml:space="preserve"> </w:t>
      </w:r>
      <w:r>
        <w:rPr>
          <w:b/>
        </w:rPr>
        <w:t xml:space="preserve">are aware of the timing of the </w:t>
      </w:r>
      <w:r w:rsidR="00A01AF6">
        <w:rPr>
          <w:b/>
        </w:rPr>
        <w:t xml:space="preserve">device specific </w:t>
      </w:r>
      <w:r>
        <w:rPr>
          <w:b/>
        </w:rPr>
        <w:t xml:space="preserve">paging </w:t>
      </w:r>
      <w:r w:rsidR="00A01AF6">
        <w:rPr>
          <w:b/>
        </w:rPr>
        <w:t>occasions</w:t>
      </w:r>
      <w:r>
        <w:rPr>
          <w:b/>
        </w:rPr>
        <w:t xml:space="preserve"> within the context of</w:t>
      </w:r>
      <w:r w:rsidR="00A01AF6">
        <w:rPr>
          <w:b/>
        </w:rPr>
        <w:t xml:space="preserve"> the radio interfaces of the cells comprising the paging area</w:t>
      </w:r>
      <w:r w:rsidRPr="003A1EB6">
        <w:rPr>
          <w:b/>
        </w:rPr>
        <w:t xml:space="preserve">. </w:t>
      </w:r>
    </w:p>
    <w:p w:rsidR="001F4937" w:rsidRDefault="001F4937" w:rsidP="001F4937">
      <w:pPr>
        <w:rPr>
          <w:b/>
        </w:rPr>
      </w:pPr>
      <w:r>
        <w:rPr>
          <w:b/>
        </w:rPr>
        <w:t>WA</w:t>
      </w:r>
      <w:r w:rsidRPr="003A1EB6">
        <w:rPr>
          <w:b/>
        </w:rPr>
        <w:t xml:space="preserve"> 2: Paging triggers </w:t>
      </w:r>
      <w:r w:rsidR="004F0469">
        <w:rPr>
          <w:b/>
        </w:rPr>
        <w:t xml:space="preserve">are buffered in the </w:t>
      </w:r>
      <w:r>
        <w:rPr>
          <w:b/>
        </w:rPr>
        <w:t>SGSN</w:t>
      </w:r>
      <w:r w:rsidR="00444C69">
        <w:rPr>
          <w:b/>
        </w:rPr>
        <w:t xml:space="preserve"> for up to the time period associated with the </w:t>
      </w:r>
      <w:proofErr w:type="spellStart"/>
      <w:r w:rsidR="00444C69">
        <w:rPr>
          <w:b/>
        </w:rPr>
        <w:t>eDRX</w:t>
      </w:r>
      <w:proofErr w:type="spellEnd"/>
      <w:r w:rsidR="00444C69">
        <w:rPr>
          <w:b/>
        </w:rPr>
        <w:t xml:space="preserve"> cycle being used by any given device.</w:t>
      </w:r>
    </w:p>
    <w:p w:rsidR="001F4937" w:rsidRDefault="001F4937" w:rsidP="001F4937">
      <w:pPr>
        <w:rPr>
          <w:b/>
        </w:rPr>
      </w:pPr>
      <w:r>
        <w:rPr>
          <w:b/>
        </w:rPr>
        <w:t xml:space="preserve">WA 3: </w:t>
      </w:r>
      <w:r w:rsidR="00A01AF6">
        <w:rPr>
          <w:b/>
        </w:rPr>
        <w:t xml:space="preserve">The </w:t>
      </w:r>
      <w:r>
        <w:rPr>
          <w:b/>
        </w:rPr>
        <w:t xml:space="preserve">SGSN </w:t>
      </w:r>
      <w:r w:rsidR="00444C69">
        <w:rPr>
          <w:b/>
        </w:rPr>
        <w:t>sends paging requests</w:t>
      </w:r>
      <w:r>
        <w:rPr>
          <w:b/>
        </w:rPr>
        <w:t xml:space="preserve"> over the relevant interface </w:t>
      </w:r>
      <w:r w:rsidR="00A01AF6">
        <w:rPr>
          <w:b/>
        </w:rPr>
        <w:t xml:space="preserve">of </w:t>
      </w:r>
      <w:r w:rsidR="00444C69">
        <w:rPr>
          <w:b/>
        </w:rPr>
        <w:t xml:space="preserve">the set of </w:t>
      </w:r>
      <w:r w:rsidR="00A01AF6">
        <w:rPr>
          <w:b/>
        </w:rPr>
        <w:t>RANs manag</w:t>
      </w:r>
      <w:r w:rsidR="00444C69">
        <w:rPr>
          <w:b/>
        </w:rPr>
        <w:t>ing</w:t>
      </w:r>
      <w:r w:rsidR="00A01AF6">
        <w:rPr>
          <w:b/>
        </w:rPr>
        <w:t xml:space="preserve"> the </w:t>
      </w:r>
      <w:r w:rsidR="00444C69">
        <w:rPr>
          <w:b/>
        </w:rPr>
        <w:t xml:space="preserve">cells of a </w:t>
      </w:r>
      <w:r w:rsidR="00A01AF6">
        <w:rPr>
          <w:b/>
        </w:rPr>
        <w:t xml:space="preserve">paging area </w:t>
      </w:r>
      <w:r w:rsidR="00444C69">
        <w:rPr>
          <w:b/>
        </w:rPr>
        <w:t>shortly before the paging occasion of the target device occurs on the radio interface of those cells</w:t>
      </w:r>
      <w:r w:rsidR="00444C69" w:rsidRPr="003A1EB6">
        <w:rPr>
          <w:b/>
        </w:rPr>
        <w:t>.</w:t>
      </w:r>
    </w:p>
    <w:p w:rsidR="001F4937" w:rsidRDefault="001F4937" w:rsidP="005A0165">
      <w:pPr>
        <w:pStyle w:val="BodyText"/>
        <w:rPr>
          <w:rFonts w:cstheme="minorHAnsi"/>
          <w:szCs w:val="18"/>
        </w:rPr>
      </w:pPr>
    </w:p>
    <w:p w:rsidR="001F4937" w:rsidRDefault="001F4937" w:rsidP="005A0165">
      <w:pPr>
        <w:pStyle w:val="BodyText"/>
        <w:rPr>
          <w:rFonts w:cstheme="minorHAnsi"/>
          <w:szCs w:val="18"/>
        </w:rPr>
      </w:pPr>
    </w:p>
    <w:sectPr w:rsidR="001F4937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D7" w:rsidRDefault="00167ED7">
      <w:r>
        <w:separator/>
      </w:r>
    </w:p>
  </w:endnote>
  <w:endnote w:type="continuationSeparator" w:id="0">
    <w:p w:rsidR="00167ED7" w:rsidRDefault="0016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57C0">
      <w:rPr>
        <w:rStyle w:val="PageNumber"/>
        <w:noProof/>
      </w:rPr>
      <w:t>2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57C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57C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57C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D7" w:rsidRDefault="00167ED7">
      <w:r>
        <w:separator/>
      </w:r>
    </w:p>
  </w:footnote>
  <w:footnote w:type="continuationSeparator" w:id="0">
    <w:p w:rsidR="00167ED7" w:rsidRDefault="00167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147FE4" w:rsidRDefault="006B1F0A" w:rsidP="00EA60C1">
    <w:pPr>
      <w:pStyle w:val="Header"/>
      <w:rPr>
        <w:lang w:val="sv-SE"/>
      </w:rPr>
    </w:pPr>
    <w:r w:rsidRPr="00147FE4">
      <w:rPr>
        <w:lang w:val="sv-SE"/>
      </w:rPr>
      <w:t>3GPP TSG GERAN #65</w:t>
    </w:r>
    <w:r w:rsidR="003E6F44" w:rsidRPr="00147FE4">
      <w:rPr>
        <w:lang w:val="sv-SE"/>
      </w:rPr>
      <w:tab/>
    </w:r>
    <w:r w:rsidR="003E6F44" w:rsidRPr="00147FE4">
      <w:rPr>
        <w:lang w:val="sv-SE"/>
      </w:rPr>
      <w:tab/>
      <w:t>Tdoc</w:t>
    </w:r>
    <w:r w:rsidR="00BD267B" w:rsidRPr="00147FE4">
      <w:rPr>
        <w:rFonts w:ascii="Arial" w:hAnsi="Arial" w:cs="Arial"/>
        <w:color w:val="000000"/>
        <w:sz w:val="20"/>
        <w:szCs w:val="20"/>
        <w:lang w:val="sv-SE"/>
      </w:rPr>
      <w:t xml:space="preserve"> </w:t>
    </w:r>
    <w:r w:rsidR="002457C0">
      <w:rPr>
        <w:rFonts w:ascii="Arial" w:hAnsi="Arial" w:cs="Arial"/>
        <w:color w:val="000000"/>
        <w:sz w:val="20"/>
        <w:szCs w:val="20"/>
        <w:lang w:val="sv-SE"/>
      </w:rPr>
      <w:t>GP-150215</w:t>
    </w:r>
  </w:p>
  <w:p w:rsidR="003E6F44" w:rsidRPr="00147FE4" w:rsidRDefault="003E6F44">
    <w:pPr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147FE4" w:rsidRDefault="003E6F44" w:rsidP="00147FE4">
    <w:pPr>
      <w:pStyle w:val="Header"/>
      <w:spacing w:after="0" w:line="240" w:lineRule="auto"/>
      <w:rPr>
        <w:lang w:val="sv-SE"/>
      </w:rPr>
    </w:pPr>
    <w:r w:rsidRPr="00147FE4">
      <w:rPr>
        <w:lang w:val="sv-SE"/>
      </w:rPr>
      <w:t>3GPP</w:t>
    </w:r>
    <w:r w:rsidR="00313964">
      <w:rPr>
        <w:lang w:val="sv-SE"/>
      </w:rPr>
      <w:t xml:space="preserve"> TSG GERAN </w:t>
    </w:r>
    <w:proofErr w:type="spellStart"/>
    <w:r w:rsidR="00313964">
      <w:t>FS_IoT_LC</w:t>
    </w:r>
    <w:proofErr w:type="spellEnd"/>
    <w:r w:rsidR="00313964">
      <w:t xml:space="preserve"> Adhoc#2</w:t>
    </w:r>
    <w:r w:rsidRPr="00147FE4">
      <w:rPr>
        <w:lang w:val="sv-SE"/>
      </w:rPr>
      <w:tab/>
    </w:r>
    <w:r w:rsidRPr="00147FE4">
      <w:rPr>
        <w:lang w:val="sv-SE"/>
      </w:rPr>
      <w:tab/>
    </w:r>
    <w:r w:rsidRPr="000757FC">
      <w:rPr>
        <w:lang w:val="sv-SE"/>
      </w:rPr>
      <w:t xml:space="preserve">Tdoc </w:t>
    </w:r>
    <w:r w:rsidR="002457C0">
      <w:rPr>
        <w:rFonts w:ascii="Arial" w:hAnsi="Arial" w:cs="Arial"/>
        <w:color w:val="000000"/>
        <w:sz w:val="20"/>
        <w:szCs w:val="20"/>
        <w:lang w:val="sv-SE"/>
      </w:rPr>
      <w:t>GPC150215</w:t>
    </w:r>
  </w:p>
  <w:p w:rsidR="006B1F0A" w:rsidRPr="00F171F5" w:rsidRDefault="00313964" w:rsidP="00147FE4">
    <w:pPr>
      <w:pStyle w:val="Header"/>
      <w:spacing w:after="0" w:line="240" w:lineRule="auto"/>
      <w:rPr>
        <w:lang w:val="it-IT"/>
      </w:rPr>
    </w:pPr>
    <w:r>
      <w:rPr>
        <w:lang w:val="it-IT"/>
      </w:rPr>
      <w:t>Sophia Antipolis</w:t>
    </w:r>
    <w:r w:rsidR="006B1F0A" w:rsidRPr="00F171F5">
      <w:rPr>
        <w:lang w:val="it-IT"/>
      </w:rPr>
      <w:tab/>
    </w:r>
    <w:r w:rsidR="006B1F0A" w:rsidRPr="00F171F5">
      <w:rPr>
        <w:lang w:val="it-IT"/>
      </w:rPr>
      <w:tab/>
      <w:t xml:space="preserve">Agenda item </w:t>
    </w:r>
    <w:r w:rsidR="002457C0">
      <w:rPr>
        <w:color w:val="000000" w:themeColor="text1"/>
        <w:lang w:eastAsia="zh-CN"/>
      </w:rPr>
      <w:t>2.4.3</w:t>
    </w:r>
  </w:p>
  <w:p w:rsidR="003E6F44" w:rsidRPr="00060646" w:rsidRDefault="00313964" w:rsidP="00147FE4">
    <w:pPr>
      <w:pStyle w:val="Header"/>
      <w:spacing w:after="0" w:line="240" w:lineRule="auto"/>
      <w:rPr>
        <w:snapToGrid w:val="0"/>
      </w:rPr>
    </w:pPr>
    <w:r>
      <w:t>20</w:t>
    </w:r>
    <w:r w:rsidRPr="00313964">
      <w:rPr>
        <w:vertAlign w:val="superscript"/>
      </w:rPr>
      <w:t>th</w:t>
    </w:r>
    <w:r>
      <w:t xml:space="preserve"> – 23</w:t>
    </w:r>
    <w:r w:rsidRPr="00313964">
      <w:rPr>
        <w:vertAlign w:val="superscript"/>
      </w:rPr>
      <w:t>rd</w:t>
    </w:r>
    <w:r>
      <w:t xml:space="preserve"> April</w:t>
    </w:r>
    <w:r w:rsidR="006B1F0A" w:rsidRPr="00060646">
      <w:t>, 2015</w:t>
    </w:r>
    <w:r w:rsidR="006B1F0A" w:rsidRPr="00060646">
      <w:br/>
      <w:t>Source: Ericsson</w:t>
    </w:r>
    <w:r w:rsidR="00147FE4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6B784E"/>
    <w:multiLevelType w:val="hybridMultilevel"/>
    <w:tmpl w:val="3066342E"/>
    <w:lvl w:ilvl="0" w:tplc="2AF2F168">
      <w:start w:val="19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5BD6D95"/>
    <w:multiLevelType w:val="hybridMultilevel"/>
    <w:tmpl w:val="604E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5E2029"/>
    <w:multiLevelType w:val="hybridMultilevel"/>
    <w:tmpl w:val="1316B3EA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0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7679D"/>
    <w:multiLevelType w:val="hybridMultilevel"/>
    <w:tmpl w:val="E3C47898"/>
    <w:lvl w:ilvl="0" w:tplc="2AF2F168">
      <w:start w:val="19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D131F"/>
    <w:multiLevelType w:val="multilevel"/>
    <w:tmpl w:val="5DD631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12B263A"/>
    <w:multiLevelType w:val="hybridMultilevel"/>
    <w:tmpl w:val="766A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4645FC"/>
    <w:multiLevelType w:val="hybridMultilevel"/>
    <w:tmpl w:val="30268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7667D"/>
    <w:multiLevelType w:val="hybridMultilevel"/>
    <w:tmpl w:val="244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7"/>
  </w:num>
  <w:num w:numId="7">
    <w:abstractNumId w:val="12"/>
  </w:num>
  <w:num w:numId="8">
    <w:abstractNumId w:val="24"/>
  </w:num>
  <w:num w:numId="9">
    <w:abstractNumId w:val="32"/>
  </w:num>
  <w:num w:numId="10">
    <w:abstractNumId w:val="37"/>
  </w:num>
  <w:num w:numId="11">
    <w:abstractNumId w:val="17"/>
  </w:num>
  <w:num w:numId="12">
    <w:abstractNumId w:val="16"/>
  </w:num>
  <w:num w:numId="13">
    <w:abstractNumId w:val="0"/>
  </w:num>
  <w:num w:numId="14">
    <w:abstractNumId w:val="38"/>
  </w:num>
  <w:num w:numId="15">
    <w:abstractNumId w:val="36"/>
  </w:num>
  <w:num w:numId="16">
    <w:abstractNumId w:val="10"/>
  </w:num>
  <w:num w:numId="17">
    <w:abstractNumId w:val="25"/>
  </w:num>
  <w:num w:numId="18">
    <w:abstractNumId w:val="33"/>
  </w:num>
  <w:num w:numId="19">
    <w:abstractNumId w:val="23"/>
  </w:num>
  <w:num w:numId="20">
    <w:abstractNumId w:val="8"/>
  </w:num>
  <w:num w:numId="21">
    <w:abstractNumId w:val="18"/>
  </w:num>
  <w:num w:numId="22">
    <w:abstractNumId w:val="15"/>
  </w:num>
  <w:num w:numId="23">
    <w:abstractNumId w:val="22"/>
  </w:num>
  <w:num w:numId="24">
    <w:abstractNumId w:val="26"/>
  </w:num>
  <w:num w:numId="25">
    <w:abstractNumId w:val="20"/>
  </w:num>
  <w:num w:numId="26">
    <w:abstractNumId w:val="9"/>
  </w:num>
  <w:num w:numId="27">
    <w:abstractNumId w:val="28"/>
  </w:num>
  <w:num w:numId="28">
    <w:abstractNumId w:val="7"/>
  </w:num>
  <w:num w:numId="29">
    <w:abstractNumId w:val="11"/>
  </w:num>
  <w:num w:numId="30">
    <w:abstractNumId w:val="31"/>
  </w:num>
  <w:num w:numId="31">
    <w:abstractNumId w:val="29"/>
  </w:num>
  <w:num w:numId="32">
    <w:abstractNumId w:val="39"/>
  </w:num>
  <w:num w:numId="33">
    <w:abstractNumId w:val="14"/>
  </w:num>
  <w:num w:numId="34">
    <w:abstractNumId w:val="35"/>
  </w:num>
  <w:num w:numId="35">
    <w:abstractNumId w:val="13"/>
  </w:num>
  <w:num w:numId="36">
    <w:abstractNumId w:val="12"/>
  </w:num>
  <w:num w:numId="37">
    <w:abstractNumId w:val="21"/>
  </w:num>
  <w:num w:numId="38">
    <w:abstractNumId w:val="12"/>
  </w:num>
  <w:num w:numId="39">
    <w:abstractNumId w:val="6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27"/>
  </w:num>
  <w:num w:numId="43">
    <w:abstractNumId w:val="30"/>
  </w:num>
  <w:num w:numId="4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33A8"/>
    <w:rsid w:val="000140A6"/>
    <w:rsid w:val="00014BB0"/>
    <w:rsid w:val="00014D19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2F98"/>
    <w:rsid w:val="00036EE4"/>
    <w:rsid w:val="00036FBD"/>
    <w:rsid w:val="0004021D"/>
    <w:rsid w:val="000432B9"/>
    <w:rsid w:val="000476F1"/>
    <w:rsid w:val="000505E7"/>
    <w:rsid w:val="00051509"/>
    <w:rsid w:val="0005267D"/>
    <w:rsid w:val="00054769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757FC"/>
    <w:rsid w:val="000766B6"/>
    <w:rsid w:val="0007730E"/>
    <w:rsid w:val="0008045A"/>
    <w:rsid w:val="00081D0E"/>
    <w:rsid w:val="00082CF2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20AF"/>
    <w:rsid w:val="000B39FB"/>
    <w:rsid w:val="000B3D19"/>
    <w:rsid w:val="000B480F"/>
    <w:rsid w:val="000B4A93"/>
    <w:rsid w:val="000B4CA8"/>
    <w:rsid w:val="000B5647"/>
    <w:rsid w:val="000B60B6"/>
    <w:rsid w:val="000B62EB"/>
    <w:rsid w:val="000B6925"/>
    <w:rsid w:val="000B74A0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442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0376"/>
    <w:rsid w:val="000E4DE7"/>
    <w:rsid w:val="000E52B9"/>
    <w:rsid w:val="000E7150"/>
    <w:rsid w:val="000E7410"/>
    <w:rsid w:val="000E7B3A"/>
    <w:rsid w:val="000F28EE"/>
    <w:rsid w:val="000F33B4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300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47FE4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67ED7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AAF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3ABD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D9D"/>
    <w:rsid w:val="001C76E9"/>
    <w:rsid w:val="001D01D4"/>
    <w:rsid w:val="001D0409"/>
    <w:rsid w:val="001D1001"/>
    <w:rsid w:val="001D1745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3A17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4937"/>
    <w:rsid w:val="001F57DC"/>
    <w:rsid w:val="001F5CA6"/>
    <w:rsid w:val="001F5CEA"/>
    <w:rsid w:val="001F63D4"/>
    <w:rsid w:val="001F7512"/>
    <w:rsid w:val="001F770C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7C0"/>
    <w:rsid w:val="002458A5"/>
    <w:rsid w:val="00245AC6"/>
    <w:rsid w:val="00246802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1B39"/>
    <w:rsid w:val="00282F72"/>
    <w:rsid w:val="00283416"/>
    <w:rsid w:val="00283F43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6C2"/>
    <w:rsid w:val="002C3AC9"/>
    <w:rsid w:val="002C4D10"/>
    <w:rsid w:val="002C631C"/>
    <w:rsid w:val="002C6CB3"/>
    <w:rsid w:val="002C6D3A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964"/>
    <w:rsid w:val="00313A9F"/>
    <w:rsid w:val="00314275"/>
    <w:rsid w:val="00314505"/>
    <w:rsid w:val="00315D93"/>
    <w:rsid w:val="00320822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16B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55EB"/>
    <w:rsid w:val="003A6BAD"/>
    <w:rsid w:val="003A724C"/>
    <w:rsid w:val="003A7A8E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0D95"/>
    <w:rsid w:val="003D13C6"/>
    <w:rsid w:val="003D247E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1D7"/>
    <w:rsid w:val="003F08A4"/>
    <w:rsid w:val="003F0D73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6774"/>
    <w:rsid w:val="004170C4"/>
    <w:rsid w:val="00417764"/>
    <w:rsid w:val="00417771"/>
    <w:rsid w:val="00417899"/>
    <w:rsid w:val="00420564"/>
    <w:rsid w:val="0042095C"/>
    <w:rsid w:val="00420DC8"/>
    <w:rsid w:val="00420E5E"/>
    <w:rsid w:val="00420EDA"/>
    <w:rsid w:val="004212F4"/>
    <w:rsid w:val="00422D60"/>
    <w:rsid w:val="00423608"/>
    <w:rsid w:val="00423697"/>
    <w:rsid w:val="00423FCD"/>
    <w:rsid w:val="0042443A"/>
    <w:rsid w:val="0042570A"/>
    <w:rsid w:val="00426110"/>
    <w:rsid w:val="00426A4B"/>
    <w:rsid w:val="00427216"/>
    <w:rsid w:val="00427A22"/>
    <w:rsid w:val="004310B2"/>
    <w:rsid w:val="00431C84"/>
    <w:rsid w:val="00432A46"/>
    <w:rsid w:val="00432F4F"/>
    <w:rsid w:val="00433BB1"/>
    <w:rsid w:val="00434F66"/>
    <w:rsid w:val="004362AD"/>
    <w:rsid w:val="00436C08"/>
    <w:rsid w:val="00440418"/>
    <w:rsid w:val="0044092F"/>
    <w:rsid w:val="004413F7"/>
    <w:rsid w:val="004431AE"/>
    <w:rsid w:val="00444C69"/>
    <w:rsid w:val="0044525A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5FA"/>
    <w:rsid w:val="00484D55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469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0AD"/>
    <w:rsid w:val="00504DA0"/>
    <w:rsid w:val="005057E5"/>
    <w:rsid w:val="00505E76"/>
    <w:rsid w:val="005071D2"/>
    <w:rsid w:val="00507936"/>
    <w:rsid w:val="00510F91"/>
    <w:rsid w:val="00512D68"/>
    <w:rsid w:val="0051442B"/>
    <w:rsid w:val="00514990"/>
    <w:rsid w:val="005150AE"/>
    <w:rsid w:val="00515139"/>
    <w:rsid w:val="005155F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5FC7"/>
    <w:rsid w:val="00536ECE"/>
    <w:rsid w:val="005379D0"/>
    <w:rsid w:val="00537C09"/>
    <w:rsid w:val="00541822"/>
    <w:rsid w:val="005418B8"/>
    <w:rsid w:val="00541C40"/>
    <w:rsid w:val="00542072"/>
    <w:rsid w:val="00542758"/>
    <w:rsid w:val="00542A5B"/>
    <w:rsid w:val="0054313F"/>
    <w:rsid w:val="00543599"/>
    <w:rsid w:val="00543811"/>
    <w:rsid w:val="00543850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C2A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4D84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1B3"/>
    <w:rsid w:val="00594461"/>
    <w:rsid w:val="0059469C"/>
    <w:rsid w:val="0059485D"/>
    <w:rsid w:val="00595BC9"/>
    <w:rsid w:val="00595C4E"/>
    <w:rsid w:val="00596676"/>
    <w:rsid w:val="00597BA2"/>
    <w:rsid w:val="005A0165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3A9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42C3"/>
    <w:rsid w:val="006252D2"/>
    <w:rsid w:val="00626035"/>
    <w:rsid w:val="0062607A"/>
    <w:rsid w:val="0062715F"/>
    <w:rsid w:val="006271C3"/>
    <w:rsid w:val="00631CB0"/>
    <w:rsid w:val="006320AD"/>
    <w:rsid w:val="00632104"/>
    <w:rsid w:val="00632172"/>
    <w:rsid w:val="00632417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3FD"/>
    <w:rsid w:val="0064352C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40A"/>
    <w:rsid w:val="006819AB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65B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9B5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B8D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5A3E"/>
    <w:rsid w:val="007376BA"/>
    <w:rsid w:val="007377AD"/>
    <w:rsid w:val="007402E3"/>
    <w:rsid w:val="00741730"/>
    <w:rsid w:val="00742833"/>
    <w:rsid w:val="00742DE7"/>
    <w:rsid w:val="00742F1C"/>
    <w:rsid w:val="0074371A"/>
    <w:rsid w:val="007444DE"/>
    <w:rsid w:val="007447CE"/>
    <w:rsid w:val="00745E82"/>
    <w:rsid w:val="00745EB8"/>
    <w:rsid w:val="0074604A"/>
    <w:rsid w:val="0074618E"/>
    <w:rsid w:val="007462D9"/>
    <w:rsid w:val="00750454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362D"/>
    <w:rsid w:val="00764924"/>
    <w:rsid w:val="00765780"/>
    <w:rsid w:val="00765D72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2A5"/>
    <w:rsid w:val="007A53E8"/>
    <w:rsid w:val="007A5720"/>
    <w:rsid w:val="007A5935"/>
    <w:rsid w:val="007A5ED7"/>
    <w:rsid w:val="007A6D60"/>
    <w:rsid w:val="007A6F5B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A8E"/>
    <w:rsid w:val="007C32E9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301F"/>
    <w:rsid w:val="007F43C7"/>
    <w:rsid w:val="007F4EA5"/>
    <w:rsid w:val="007F595F"/>
    <w:rsid w:val="007F59FB"/>
    <w:rsid w:val="007F77EF"/>
    <w:rsid w:val="007F792A"/>
    <w:rsid w:val="007F7F98"/>
    <w:rsid w:val="008008D2"/>
    <w:rsid w:val="00800D76"/>
    <w:rsid w:val="00801024"/>
    <w:rsid w:val="008016CB"/>
    <w:rsid w:val="008026BE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3650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2E05"/>
    <w:rsid w:val="00844FE2"/>
    <w:rsid w:val="0084577C"/>
    <w:rsid w:val="00846309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04E8"/>
    <w:rsid w:val="00861571"/>
    <w:rsid w:val="00861B1D"/>
    <w:rsid w:val="00861D56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7089"/>
    <w:rsid w:val="00890121"/>
    <w:rsid w:val="00890C31"/>
    <w:rsid w:val="00890D77"/>
    <w:rsid w:val="00892627"/>
    <w:rsid w:val="00894748"/>
    <w:rsid w:val="00894C37"/>
    <w:rsid w:val="008952D8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E"/>
    <w:rsid w:val="008C57AA"/>
    <w:rsid w:val="008C62CF"/>
    <w:rsid w:val="008C69E5"/>
    <w:rsid w:val="008C7CCB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893"/>
    <w:rsid w:val="0091417D"/>
    <w:rsid w:val="009148D7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73D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42D2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071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1AF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151A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42B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35AC"/>
    <w:rsid w:val="00A94531"/>
    <w:rsid w:val="00A95222"/>
    <w:rsid w:val="00A9523C"/>
    <w:rsid w:val="00A952DC"/>
    <w:rsid w:val="00A95430"/>
    <w:rsid w:val="00A95937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5DEB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4EE4"/>
    <w:rsid w:val="00AC538B"/>
    <w:rsid w:val="00AC6483"/>
    <w:rsid w:val="00AD0CB0"/>
    <w:rsid w:val="00AD1131"/>
    <w:rsid w:val="00AD198C"/>
    <w:rsid w:val="00AD2787"/>
    <w:rsid w:val="00AD382F"/>
    <w:rsid w:val="00AD48CF"/>
    <w:rsid w:val="00AD4CA1"/>
    <w:rsid w:val="00AD516F"/>
    <w:rsid w:val="00AD5589"/>
    <w:rsid w:val="00AD74FA"/>
    <w:rsid w:val="00AE00A8"/>
    <w:rsid w:val="00AE06E4"/>
    <w:rsid w:val="00AE09E4"/>
    <w:rsid w:val="00AE0E4B"/>
    <w:rsid w:val="00AE2238"/>
    <w:rsid w:val="00AE2F94"/>
    <w:rsid w:val="00AE30CB"/>
    <w:rsid w:val="00AE34BF"/>
    <w:rsid w:val="00AE444F"/>
    <w:rsid w:val="00AE451A"/>
    <w:rsid w:val="00AE4633"/>
    <w:rsid w:val="00AE4FD3"/>
    <w:rsid w:val="00AE52A5"/>
    <w:rsid w:val="00AE789D"/>
    <w:rsid w:val="00AE7D59"/>
    <w:rsid w:val="00AF0275"/>
    <w:rsid w:val="00AF1A7C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775"/>
    <w:rsid w:val="00B30216"/>
    <w:rsid w:val="00B302E1"/>
    <w:rsid w:val="00B30754"/>
    <w:rsid w:val="00B30A0D"/>
    <w:rsid w:val="00B31344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9B5"/>
    <w:rsid w:val="00B92778"/>
    <w:rsid w:val="00B92833"/>
    <w:rsid w:val="00B928B1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931"/>
    <w:rsid w:val="00BD6D75"/>
    <w:rsid w:val="00BE0588"/>
    <w:rsid w:val="00BE0A78"/>
    <w:rsid w:val="00BE0EA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1AB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A71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3B"/>
    <w:rsid w:val="00C80DA9"/>
    <w:rsid w:val="00C80E69"/>
    <w:rsid w:val="00C819A3"/>
    <w:rsid w:val="00C822A8"/>
    <w:rsid w:val="00C82A76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0CC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2A41"/>
    <w:rsid w:val="00D32E79"/>
    <w:rsid w:val="00D334B0"/>
    <w:rsid w:val="00D3368C"/>
    <w:rsid w:val="00D34F31"/>
    <w:rsid w:val="00D3519D"/>
    <w:rsid w:val="00D35A98"/>
    <w:rsid w:val="00D35B90"/>
    <w:rsid w:val="00D360EC"/>
    <w:rsid w:val="00D3629F"/>
    <w:rsid w:val="00D36B47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6D4D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F50"/>
    <w:rsid w:val="00D65605"/>
    <w:rsid w:val="00D67119"/>
    <w:rsid w:val="00D67A12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0204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1A87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0A48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CD"/>
    <w:rsid w:val="00E24850"/>
    <w:rsid w:val="00E2657E"/>
    <w:rsid w:val="00E26AF6"/>
    <w:rsid w:val="00E27CC0"/>
    <w:rsid w:val="00E305B5"/>
    <w:rsid w:val="00E312DC"/>
    <w:rsid w:val="00E31D05"/>
    <w:rsid w:val="00E31EC2"/>
    <w:rsid w:val="00E32232"/>
    <w:rsid w:val="00E3299E"/>
    <w:rsid w:val="00E32E44"/>
    <w:rsid w:val="00E333A0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41A"/>
    <w:rsid w:val="00E736B9"/>
    <w:rsid w:val="00E7452F"/>
    <w:rsid w:val="00E752E7"/>
    <w:rsid w:val="00E75611"/>
    <w:rsid w:val="00E76028"/>
    <w:rsid w:val="00E77334"/>
    <w:rsid w:val="00E77918"/>
    <w:rsid w:val="00E77D27"/>
    <w:rsid w:val="00E83C18"/>
    <w:rsid w:val="00E8449F"/>
    <w:rsid w:val="00E84FC9"/>
    <w:rsid w:val="00E84FF0"/>
    <w:rsid w:val="00E8516C"/>
    <w:rsid w:val="00E8634B"/>
    <w:rsid w:val="00E866E9"/>
    <w:rsid w:val="00E879BD"/>
    <w:rsid w:val="00E90300"/>
    <w:rsid w:val="00E90A78"/>
    <w:rsid w:val="00E925BD"/>
    <w:rsid w:val="00E93AD5"/>
    <w:rsid w:val="00E94296"/>
    <w:rsid w:val="00E94996"/>
    <w:rsid w:val="00E94AB3"/>
    <w:rsid w:val="00E9673C"/>
    <w:rsid w:val="00E96D9E"/>
    <w:rsid w:val="00EA0B60"/>
    <w:rsid w:val="00EA14DF"/>
    <w:rsid w:val="00EA1FD3"/>
    <w:rsid w:val="00EA21C2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3F7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547E"/>
    <w:rsid w:val="00F2559E"/>
    <w:rsid w:val="00F2621C"/>
    <w:rsid w:val="00F2707F"/>
    <w:rsid w:val="00F2743B"/>
    <w:rsid w:val="00F27E75"/>
    <w:rsid w:val="00F301AF"/>
    <w:rsid w:val="00F30D8F"/>
    <w:rsid w:val="00F33EFA"/>
    <w:rsid w:val="00F34796"/>
    <w:rsid w:val="00F34BD4"/>
    <w:rsid w:val="00F35562"/>
    <w:rsid w:val="00F35CB5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156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0369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121F"/>
    <w:rsid w:val="00F9206E"/>
    <w:rsid w:val="00F93483"/>
    <w:rsid w:val="00F9387C"/>
    <w:rsid w:val="00F9447E"/>
    <w:rsid w:val="00F948AF"/>
    <w:rsid w:val="00F94A97"/>
    <w:rsid w:val="00F94C31"/>
    <w:rsid w:val="00F94D77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29BC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7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AD74F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color w:val="FF000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457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7C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TACChar"/>
    <w:link w:val="TAH"/>
    <w:rsid w:val="005A0165"/>
    <w:rPr>
      <w:rFonts w:ascii="Arial" w:eastAsiaTheme="minorHAnsi" w:hAnsi="Arial" w:cstheme="minorBidi"/>
      <w:b/>
      <w:sz w:val="18"/>
    </w:rPr>
  </w:style>
  <w:style w:type="character" w:customStyle="1" w:styleId="Heading2Char">
    <w:name w:val="Heading 2 Char"/>
    <w:basedOn w:val="DefaultParagraphFont"/>
    <w:link w:val="Heading2"/>
    <w:rsid w:val="003F01D7"/>
    <w:rPr>
      <w:rFonts w:asciiTheme="minorHAnsi" w:eastAsiaTheme="minorHAnsi" w:hAnsiTheme="minorHAnsi" w:cs="Arial"/>
      <w:b/>
      <w:bCs/>
      <w:kern w:val="32"/>
      <w:sz w:val="26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7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F70156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AD74F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color w:val="FF000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457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7C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TACChar"/>
    <w:link w:val="TAH"/>
    <w:rsid w:val="005A0165"/>
    <w:rPr>
      <w:rFonts w:ascii="Arial" w:eastAsiaTheme="minorHAnsi" w:hAnsi="Arial" w:cstheme="minorBidi"/>
      <w:b/>
      <w:sz w:val="18"/>
    </w:rPr>
  </w:style>
  <w:style w:type="character" w:customStyle="1" w:styleId="Heading2Char">
    <w:name w:val="Heading 2 Char"/>
    <w:basedOn w:val="DefaultParagraphFont"/>
    <w:link w:val="Heading2"/>
    <w:rsid w:val="003F01D7"/>
    <w:rPr>
      <w:rFonts w:asciiTheme="minorHAnsi" w:eastAsiaTheme="minorHAnsi" w:hAnsiTheme="minorHAnsi" w:cs="Arial"/>
      <w:b/>
      <w:bCs/>
      <w:kern w:val="32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E05A-2084-4D61-89D5-66ADB3AA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4283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2015-02-25T17:16:00Z</cp:lastPrinted>
  <dcterms:created xsi:type="dcterms:W3CDTF">2015-04-14T20:16:00Z</dcterms:created>
  <dcterms:modified xsi:type="dcterms:W3CDTF">2015-04-14T20:16:00Z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